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6EF2E" w14:textId="77777777" w:rsidR="007453EA" w:rsidRPr="006467A4" w:rsidRDefault="007453EA" w:rsidP="007453EA">
      <w:pPr>
        <w:rPr>
          <w:rFonts w:ascii="Times New Roman" w:hAnsi="Times New Roman"/>
          <w:b/>
          <w:sz w:val="20"/>
          <w:szCs w:val="20"/>
        </w:rPr>
      </w:pPr>
      <w:r w:rsidRPr="006467A4">
        <w:rPr>
          <w:rFonts w:ascii="Times New Roman" w:hAnsi="Times New Roman"/>
          <w:b/>
          <w:sz w:val="20"/>
          <w:szCs w:val="20"/>
        </w:rPr>
        <w:t>REPUBLIKA HRVATSKA</w:t>
      </w:r>
    </w:p>
    <w:p w14:paraId="7FC27B98" w14:textId="77777777" w:rsidR="007453EA" w:rsidRPr="006467A4" w:rsidRDefault="007453EA" w:rsidP="007453EA">
      <w:pPr>
        <w:rPr>
          <w:rFonts w:ascii="Times New Roman" w:hAnsi="Times New Roman"/>
          <w:b/>
          <w:sz w:val="20"/>
          <w:szCs w:val="20"/>
        </w:rPr>
      </w:pPr>
      <w:r w:rsidRPr="006467A4">
        <w:rPr>
          <w:rFonts w:ascii="Times New Roman" w:hAnsi="Times New Roman"/>
          <w:b/>
          <w:sz w:val="20"/>
          <w:szCs w:val="20"/>
        </w:rPr>
        <w:t>OSNOVNA ŠKOLA  TRPANJ</w:t>
      </w:r>
    </w:p>
    <w:p w14:paraId="630C65C9" w14:textId="77777777" w:rsidR="007453EA" w:rsidRPr="006467A4" w:rsidRDefault="007453EA" w:rsidP="007453EA">
      <w:pPr>
        <w:rPr>
          <w:rFonts w:ascii="Times New Roman" w:hAnsi="Times New Roman"/>
          <w:b/>
          <w:sz w:val="20"/>
          <w:szCs w:val="20"/>
        </w:rPr>
      </w:pPr>
      <w:r w:rsidRPr="006467A4">
        <w:rPr>
          <w:rFonts w:ascii="Times New Roman" w:hAnsi="Times New Roman"/>
          <w:b/>
          <w:sz w:val="20"/>
          <w:szCs w:val="20"/>
        </w:rPr>
        <w:t>TRPANJ</w:t>
      </w:r>
    </w:p>
    <w:p w14:paraId="6DA9BBB0" w14:textId="2BE7D994" w:rsidR="007453EA" w:rsidRPr="006467A4" w:rsidRDefault="007453EA" w:rsidP="007453EA">
      <w:pPr>
        <w:rPr>
          <w:rFonts w:ascii="Times New Roman" w:hAnsi="Times New Roman"/>
          <w:b/>
          <w:sz w:val="20"/>
          <w:szCs w:val="20"/>
        </w:rPr>
      </w:pPr>
      <w:r w:rsidRPr="006467A4">
        <w:rPr>
          <w:rFonts w:ascii="Times New Roman" w:hAnsi="Times New Roman"/>
          <w:b/>
          <w:sz w:val="20"/>
          <w:szCs w:val="20"/>
        </w:rPr>
        <w:t xml:space="preserve">Klasa : </w:t>
      </w:r>
      <w:r w:rsidR="00A33EAB">
        <w:rPr>
          <w:rFonts w:ascii="Times New Roman" w:hAnsi="Times New Roman"/>
          <w:sz w:val="20"/>
          <w:szCs w:val="20"/>
        </w:rPr>
        <w:t>112-01/2</w:t>
      </w:r>
      <w:r w:rsidR="00133047">
        <w:rPr>
          <w:rFonts w:ascii="Times New Roman" w:hAnsi="Times New Roman"/>
          <w:sz w:val="20"/>
          <w:szCs w:val="20"/>
        </w:rPr>
        <w:t>6</w:t>
      </w:r>
      <w:r w:rsidR="00A33EAB">
        <w:rPr>
          <w:rFonts w:ascii="Times New Roman" w:hAnsi="Times New Roman"/>
          <w:sz w:val="20"/>
          <w:szCs w:val="20"/>
        </w:rPr>
        <w:t>-0</w:t>
      </w:r>
      <w:r w:rsidR="007142BE">
        <w:rPr>
          <w:rFonts w:ascii="Times New Roman" w:hAnsi="Times New Roman"/>
          <w:sz w:val="20"/>
          <w:szCs w:val="20"/>
        </w:rPr>
        <w:t>2</w:t>
      </w:r>
      <w:r w:rsidR="00A33EAB">
        <w:rPr>
          <w:rFonts w:ascii="Times New Roman" w:hAnsi="Times New Roman"/>
          <w:sz w:val="20"/>
          <w:szCs w:val="20"/>
        </w:rPr>
        <w:t>/</w:t>
      </w:r>
      <w:r w:rsidR="00133047">
        <w:rPr>
          <w:rFonts w:ascii="Times New Roman" w:hAnsi="Times New Roman"/>
          <w:sz w:val="20"/>
          <w:szCs w:val="20"/>
        </w:rPr>
        <w:t>1</w:t>
      </w:r>
    </w:p>
    <w:p w14:paraId="23924FD1" w14:textId="255E84F0" w:rsidR="007453EA" w:rsidRPr="006467A4" w:rsidRDefault="007453EA" w:rsidP="007453EA">
      <w:pPr>
        <w:rPr>
          <w:rFonts w:ascii="Times New Roman" w:hAnsi="Times New Roman"/>
          <w:b/>
          <w:sz w:val="20"/>
          <w:szCs w:val="20"/>
        </w:rPr>
      </w:pPr>
      <w:r w:rsidRPr="006467A4">
        <w:rPr>
          <w:rFonts w:ascii="Times New Roman" w:hAnsi="Times New Roman"/>
          <w:b/>
          <w:sz w:val="20"/>
          <w:szCs w:val="20"/>
        </w:rPr>
        <w:t xml:space="preserve">Ur.broj : </w:t>
      </w:r>
      <w:r w:rsidR="00C45826" w:rsidRPr="006467A4">
        <w:rPr>
          <w:rFonts w:ascii="Times New Roman" w:hAnsi="Times New Roman"/>
          <w:sz w:val="20"/>
          <w:szCs w:val="20"/>
        </w:rPr>
        <w:t>2117-29-01-2</w:t>
      </w:r>
      <w:r w:rsidR="00133047">
        <w:rPr>
          <w:rFonts w:ascii="Times New Roman" w:hAnsi="Times New Roman"/>
          <w:sz w:val="20"/>
          <w:szCs w:val="20"/>
        </w:rPr>
        <w:t>6</w:t>
      </w:r>
      <w:r w:rsidR="00C45826" w:rsidRPr="006467A4">
        <w:rPr>
          <w:rFonts w:ascii="Times New Roman" w:hAnsi="Times New Roman"/>
          <w:sz w:val="20"/>
          <w:szCs w:val="20"/>
        </w:rPr>
        <w:t>-</w:t>
      </w:r>
      <w:r w:rsidR="00133047">
        <w:rPr>
          <w:rFonts w:ascii="Times New Roman" w:hAnsi="Times New Roman"/>
          <w:sz w:val="20"/>
          <w:szCs w:val="20"/>
        </w:rPr>
        <w:t>6</w:t>
      </w:r>
    </w:p>
    <w:p w14:paraId="3F0CC896" w14:textId="2B846C0F" w:rsidR="007453EA" w:rsidRDefault="00C91C20" w:rsidP="00AC7357">
      <w:pPr>
        <w:rPr>
          <w:rFonts w:ascii="Times New Roman" w:hAnsi="Times New Roman"/>
          <w:b/>
          <w:sz w:val="20"/>
          <w:szCs w:val="20"/>
        </w:rPr>
      </w:pPr>
      <w:r w:rsidRPr="006467A4">
        <w:rPr>
          <w:rFonts w:ascii="Times New Roman" w:hAnsi="Times New Roman"/>
          <w:b/>
          <w:sz w:val="20"/>
          <w:szCs w:val="20"/>
        </w:rPr>
        <w:t xml:space="preserve">U Trpnju, </w:t>
      </w:r>
      <w:r w:rsidR="007005F8">
        <w:rPr>
          <w:rFonts w:ascii="Times New Roman" w:hAnsi="Times New Roman"/>
          <w:b/>
          <w:sz w:val="20"/>
          <w:szCs w:val="20"/>
        </w:rPr>
        <w:t>10</w:t>
      </w:r>
      <w:r w:rsidR="007453EA" w:rsidRPr="006467A4">
        <w:rPr>
          <w:rFonts w:ascii="Times New Roman" w:hAnsi="Times New Roman"/>
          <w:b/>
          <w:sz w:val="20"/>
          <w:szCs w:val="20"/>
        </w:rPr>
        <w:t xml:space="preserve">. </w:t>
      </w:r>
      <w:r w:rsidR="007005F8">
        <w:rPr>
          <w:rFonts w:ascii="Times New Roman" w:hAnsi="Times New Roman"/>
          <w:b/>
          <w:sz w:val="20"/>
          <w:szCs w:val="20"/>
        </w:rPr>
        <w:t xml:space="preserve">travnja </w:t>
      </w:r>
      <w:r w:rsidR="007453EA" w:rsidRPr="006467A4">
        <w:rPr>
          <w:rFonts w:ascii="Times New Roman" w:hAnsi="Times New Roman"/>
          <w:b/>
          <w:sz w:val="20"/>
          <w:szCs w:val="20"/>
        </w:rPr>
        <w:t xml:space="preserve"> 202</w:t>
      </w:r>
      <w:r w:rsidR="007005F8">
        <w:rPr>
          <w:rFonts w:ascii="Times New Roman" w:hAnsi="Times New Roman"/>
          <w:b/>
          <w:sz w:val="20"/>
          <w:szCs w:val="20"/>
        </w:rPr>
        <w:t>6</w:t>
      </w:r>
      <w:r w:rsidR="007453EA" w:rsidRPr="006467A4">
        <w:rPr>
          <w:rFonts w:ascii="Times New Roman" w:hAnsi="Times New Roman"/>
          <w:b/>
          <w:sz w:val="20"/>
          <w:szCs w:val="20"/>
        </w:rPr>
        <w:t xml:space="preserve">. </w:t>
      </w:r>
      <w:r w:rsidR="00B96BB0">
        <w:rPr>
          <w:rFonts w:ascii="Times New Roman" w:hAnsi="Times New Roman"/>
          <w:b/>
          <w:sz w:val="20"/>
          <w:szCs w:val="20"/>
        </w:rPr>
        <w:t>g</w:t>
      </w:r>
      <w:r w:rsidR="007453EA" w:rsidRPr="006467A4">
        <w:rPr>
          <w:rFonts w:ascii="Times New Roman" w:hAnsi="Times New Roman"/>
          <w:b/>
          <w:sz w:val="20"/>
          <w:szCs w:val="20"/>
        </w:rPr>
        <w:t>odine</w:t>
      </w:r>
    </w:p>
    <w:p w14:paraId="5E37B920" w14:textId="77777777" w:rsidR="007453EA" w:rsidRPr="006467A4" w:rsidRDefault="007453EA" w:rsidP="00442419">
      <w:pPr>
        <w:spacing w:after="0" w:line="240" w:lineRule="auto"/>
        <w:jc w:val="both"/>
        <w:rPr>
          <w:rFonts w:ascii="Times New Roman" w:hAnsi="Times New Roman"/>
          <w:b/>
          <w:sz w:val="20"/>
          <w:szCs w:val="20"/>
        </w:rPr>
      </w:pPr>
      <w:r w:rsidRPr="006467A4">
        <w:rPr>
          <w:rFonts w:ascii="Times New Roman" w:hAnsi="Times New Roman"/>
          <w:b/>
          <w:sz w:val="20"/>
          <w:szCs w:val="20"/>
        </w:rPr>
        <w:t>OBAVIJEST</w:t>
      </w:r>
    </w:p>
    <w:p w14:paraId="1AC5F969" w14:textId="2675857D" w:rsidR="00442419" w:rsidRPr="006467A4" w:rsidRDefault="007453EA" w:rsidP="00442419">
      <w:pPr>
        <w:spacing w:after="0" w:line="240" w:lineRule="auto"/>
        <w:jc w:val="both"/>
        <w:rPr>
          <w:rFonts w:ascii="Times New Roman" w:hAnsi="Times New Roman"/>
          <w:b/>
          <w:sz w:val="20"/>
          <w:szCs w:val="20"/>
        </w:rPr>
      </w:pPr>
      <w:r w:rsidRPr="006467A4">
        <w:rPr>
          <w:rFonts w:ascii="Times New Roman" w:hAnsi="Times New Roman"/>
          <w:b/>
          <w:sz w:val="20"/>
          <w:szCs w:val="20"/>
        </w:rPr>
        <w:t xml:space="preserve"> Povjerenstva</w:t>
      </w:r>
      <w:r w:rsidR="00442419" w:rsidRPr="006467A4">
        <w:rPr>
          <w:rFonts w:ascii="Times New Roman" w:hAnsi="Times New Roman"/>
          <w:b/>
          <w:sz w:val="20"/>
          <w:szCs w:val="20"/>
        </w:rPr>
        <w:t xml:space="preserve"> za procjenu i vrednovanje kandidata</w:t>
      </w:r>
      <w:r w:rsidRPr="006467A4">
        <w:rPr>
          <w:rFonts w:ascii="Times New Roman" w:hAnsi="Times New Roman"/>
          <w:b/>
          <w:sz w:val="20"/>
          <w:szCs w:val="20"/>
        </w:rPr>
        <w:t xml:space="preserve"> za radno mjesto </w:t>
      </w:r>
      <w:r w:rsidR="007005F8">
        <w:rPr>
          <w:lang w:val="sv-SE"/>
        </w:rPr>
        <w:t>operativnog djelatnika za sigurnost i zaštitu</w:t>
      </w:r>
    </w:p>
    <w:p w14:paraId="37FE037E" w14:textId="77777777" w:rsidR="00442419" w:rsidRPr="006467A4" w:rsidRDefault="00442419" w:rsidP="00442419">
      <w:pPr>
        <w:spacing w:after="0" w:line="240" w:lineRule="auto"/>
        <w:jc w:val="both"/>
        <w:rPr>
          <w:rFonts w:ascii="Times New Roman" w:hAnsi="Times New Roman"/>
          <w:sz w:val="20"/>
          <w:szCs w:val="20"/>
        </w:rPr>
      </w:pPr>
    </w:p>
    <w:p w14:paraId="26D8C427" w14:textId="036409B6" w:rsidR="00442419" w:rsidRPr="006467A4" w:rsidRDefault="00442419" w:rsidP="00442419">
      <w:pPr>
        <w:spacing w:after="0" w:line="240" w:lineRule="auto"/>
        <w:ind w:firstLine="708"/>
        <w:jc w:val="both"/>
        <w:rPr>
          <w:rFonts w:ascii="Times New Roman" w:hAnsi="Times New Roman"/>
          <w:sz w:val="20"/>
          <w:szCs w:val="20"/>
        </w:rPr>
      </w:pPr>
      <w:r w:rsidRPr="006467A4">
        <w:rPr>
          <w:rFonts w:ascii="Times New Roman" w:hAnsi="Times New Roman"/>
          <w:sz w:val="20"/>
          <w:szCs w:val="20"/>
        </w:rPr>
        <w:t>Procjena odnosno testiranje kandidata prijavlje</w:t>
      </w:r>
      <w:r w:rsidR="0049500B" w:rsidRPr="006467A4">
        <w:rPr>
          <w:rFonts w:ascii="Times New Roman" w:hAnsi="Times New Roman"/>
          <w:sz w:val="20"/>
          <w:szCs w:val="20"/>
        </w:rPr>
        <w:t xml:space="preserve">nih na natječaj objavljen dana </w:t>
      </w:r>
      <w:r w:rsidR="007005F8">
        <w:rPr>
          <w:rFonts w:ascii="Times New Roman" w:hAnsi="Times New Roman"/>
          <w:sz w:val="20"/>
          <w:szCs w:val="20"/>
        </w:rPr>
        <w:t>27</w:t>
      </w:r>
      <w:r w:rsidR="007453EA" w:rsidRPr="006467A4">
        <w:rPr>
          <w:rFonts w:ascii="Times New Roman" w:hAnsi="Times New Roman"/>
          <w:sz w:val="20"/>
          <w:szCs w:val="20"/>
        </w:rPr>
        <w:t>.</w:t>
      </w:r>
      <w:r w:rsidR="007005F8">
        <w:rPr>
          <w:rFonts w:ascii="Times New Roman" w:hAnsi="Times New Roman"/>
          <w:sz w:val="20"/>
          <w:szCs w:val="20"/>
        </w:rPr>
        <w:t>ožujka</w:t>
      </w:r>
      <w:r w:rsidRPr="006467A4">
        <w:rPr>
          <w:rFonts w:ascii="Times New Roman" w:hAnsi="Times New Roman"/>
          <w:sz w:val="20"/>
          <w:szCs w:val="20"/>
        </w:rPr>
        <w:t xml:space="preserve"> 202</w:t>
      </w:r>
      <w:r w:rsidR="007005F8">
        <w:rPr>
          <w:rFonts w:ascii="Times New Roman" w:hAnsi="Times New Roman"/>
          <w:sz w:val="20"/>
          <w:szCs w:val="20"/>
        </w:rPr>
        <w:t>6</w:t>
      </w:r>
      <w:r w:rsidRPr="006467A4">
        <w:rPr>
          <w:rFonts w:ascii="Times New Roman" w:hAnsi="Times New Roman"/>
          <w:sz w:val="20"/>
          <w:szCs w:val="20"/>
        </w:rPr>
        <w:t xml:space="preserve">. godine na mrežnoj stranici i oglasnoj ploči Škole te mrežnim stranicama i oglasnim pločama Hrvatskog zavoda za zapošljavanje za zasnivanje radnog odnosa na radnom mjestu </w:t>
      </w:r>
      <w:r w:rsidR="007005F8">
        <w:rPr>
          <w:lang w:val="sv-SE"/>
        </w:rPr>
        <w:t>operativnog djelatnika za sigurnost i zaštitu</w:t>
      </w:r>
      <w:r w:rsidR="007005F8" w:rsidRPr="006467A4">
        <w:rPr>
          <w:rFonts w:ascii="Times New Roman" w:hAnsi="Times New Roman"/>
          <w:sz w:val="20"/>
          <w:szCs w:val="20"/>
        </w:rPr>
        <w:t xml:space="preserve"> </w:t>
      </w:r>
      <w:r w:rsidRPr="006467A4">
        <w:rPr>
          <w:rFonts w:ascii="Times New Roman" w:hAnsi="Times New Roman"/>
          <w:sz w:val="20"/>
          <w:szCs w:val="20"/>
        </w:rPr>
        <w:t xml:space="preserve">na </w:t>
      </w:r>
      <w:r w:rsidR="00204EB3">
        <w:rPr>
          <w:rFonts w:ascii="Times New Roman" w:hAnsi="Times New Roman"/>
          <w:sz w:val="20"/>
          <w:szCs w:val="20"/>
        </w:rPr>
        <w:t>ne</w:t>
      </w:r>
      <w:r w:rsidRPr="006467A4">
        <w:rPr>
          <w:rFonts w:ascii="Times New Roman" w:hAnsi="Times New Roman"/>
          <w:sz w:val="20"/>
          <w:szCs w:val="20"/>
        </w:rPr>
        <w:t xml:space="preserve">određeno puno radno vrijeme od </w:t>
      </w:r>
      <w:r w:rsidR="007005F8">
        <w:rPr>
          <w:rFonts w:ascii="Times New Roman" w:hAnsi="Times New Roman"/>
          <w:sz w:val="20"/>
          <w:szCs w:val="20"/>
        </w:rPr>
        <w:t>40</w:t>
      </w:r>
      <w:r w:rsidRPr="006467A4">
        <w:rPr>
          <w:rFonts w:ascii="Times New Roman" w:hAnsi="Times New Roman"/>
          <w:sz w:val="20"/>
          <w:szCs w:val="20"/>
        </w:rPr>
        <w:t xml:space="preserve"> sati tjedno vršit će se usmenim testiranjem i vrednovanjem kandidata iz područja poznavanja propisa koji se odnose </w:t>
      </w:r>
      <w:r w:rsidR="007005F8">
        <w:rPr>
          <w:rFonts w:ascii="Times New Roman" w:hAnsi="Times New Roman"/>
          <w:sz w:val="20"/>
          <w:szCs w:val="20"/>
        </w:rPr>
        <w:t>za gore navedeno radno mjesto</w:t>
      </w:r>
      <w:r w:rsidRPr="006467A4">
        <w:rPr>
          <w:rFonts w:ascii="Times New Roman" w:hAnsi="Times New Roman"/>
          <w:sz w:val="20"/>
          <w:szCs w:val="20"/>
        </w:rPr>
        <w:t>.</w:t>
      </w:r>
    </w:p>
    <w:p w14:paraId="64E9DBAA" w14:textId="77777777" w:rsidR="00442419" w:rsidRPr="006467A4" w:rsidRDefault="00442419" w:rsidP="00442419">
      <w:pPr>
        <w:spacing w:after="0" w:line="240" w:lineRule="auto"/>
        <w:rPr>
          <w:rFonts w:ascii="Times New Roman" w:eastAsiaTheme="minorHAnsi" w:hAnsi="Times New Roman"/>
          <w:sz w:val="20"/>
          <w:szCs w:val="20"/>
        </w:rPr>
      </w:pPr>
    </w:p>
    <w:p w14:paraId="524C4664" w14:textId="77777777" w:rsidR="00AF3615" w:rsidRDefault="00AF3615" w:rsidP="00AF3615">
      <w:pPr>
        <w:jc w:val="both"/>
      </w:pPr>
      <w:r>
        <w:t>Pravni i drugi izvori za pripremanje kandidata:</w:t>
      </w:r>
    </w:p>
    <w:p w14:paraId="533553AD" w14:textId="77777777" w:rsidR="00AF3615" w:rsidRPr="00825864" w:rsidRDefault="00AF3615" w:rsidP="00AF3615">
      <w:pPr>
        <w:numPr>
          <w:ilvl w:val="0"/>
          <w:numId w:val="1"/>
        </w:numPr>
        <w:spacing w:after="0" w:line="240" w:lineRule="auto"/>
        <w:contextualSpacing/>
        <w:jc w:val="both"/>
        <w:rPr>
          <w:rFonts w:eastAsia="Aptos"/>
        </w:rPr>
      </w:pPr>
      <w:r>
        <w:t>Pravilnik o djelokrugu rada tajnika te administrativno-tehničkim i pomoćnim poslovima koji se obavljaju u osnovnoj školi NN 40/2014 (</w:t>
      </w:r>
      <w:hyperlink r:id="rId5" w:history="1">
        <w:r w:rsidRPr="004E39B5">
          <w:rPr>
            <w:rStyle w:val="Hyperlink"/>
          </w:rPr>
          <w:t>https://narodnenovine.nn.hr/clanci/sluzbeni/2014 03 40 713.html</w:t>
        </w:r>
      </w:hyperlink>
      <w:r>
        <w:t>)</w:t>
      </w:r>
      <w:r w:rsidRPr="00790805">
        <w:rPr>
          <w:shd w:val="clear" w:color="auto" w:fill="F5FAFD"/>
        </w:rPr>
        <w:t xml:space="preserve"> </w:t>
      </w:r>
    </w:p>
    <w:p w14:paraId="3FD7FC86" w14:textId="77777777" w:rsidR="00AF3615" w:rsidRPr="00825864" w:rsidRDefault="00AF3615" w:rsidP="00AF3615">
      <w:pPr>
        <w:ind w:left="720"/>
        <w:contextualSpacing/>
        <w:jc w:val="both"/>
        <w:rPr>
          <w:rFonts w:eastAsia="Aptos"/>
        </w:rPr>
      </w:pPr>
    </w:p>
    <w:p w14:paraId="5BFF7100" w14:textId="77777777" w:rsidR="00AF3615" w:rsidRPr="00825864" w:rsidRDefault="00AF3615" w:rsidP="00AF3615">
      <w:pPr>
        <w:numPr>
          <w:ilvl w:val="0"/>
          <w:numId w:val="1"/>
        </w:numPr>
        <w:spacing w:after="0" w:line="240" w:lineRule="auto"/>
        <w:contextualSpacing/>
        <w:jc w:val="both"/>
        <w:rPr>
          <w:rFonts w:eastAsia="Aptos"/>
        </w:rPr>
      </w:pPr>
      <w:r>
        <w:t>Pravilnik o dopunama Pravilnika o djelokrugu rada tajnika te administrativnotehničkim i pomoćnim poslovima koji se obavljaju u osnovnoj školi NN 71/2025 (</w:t>
      </w:r>
      <w:hyperlink r:id="rId6" w:history="1">
        <w:r w:rsidRPr="004E39B5">
          <w:rPr>
            <w:rStyle w:val="Hyperlink"/>
          </w:rPr>
          <w:t>https://narodne-novine.nn.hr/clanci/sluzbeni/2025 04 71 925.html</w:t>
        </w:r>
      </w:hyperlink>
      <w:r>
        <w:t>)</w:t>
      </w:r>
    </w:p>
    <w:p w14:paraId="719F0269" w14:textId="77777777" w:rsidR="00AF3615" w:rsidRPr="00825864" w:rsidRDefault="00AF3615" w:rsidP="00AF3615">
      <w:pPr>
        <w:ind w:left="720"/>
        <w:contextualSpacing/>
        <w:jc w:val="both"/>
        <w:rPr>
          <w:rFonts w:eastAsia="Aptos"/>
        </w:rPr>
      </w:pPr>
    </w:p>
    <w:p w14:paraId="7C2C682F" w14:textId="77777777" w:rsidR="00AF3615" w:rsidRPr="00825864" w:rsidRDefault="00AF3615" w:rsidP="00AF3615">
      <w:pPr>
        <w:numPr>
          <w:ilvl w:val="0"/>
          <w:numId w:val="1"/>
        </w:numPr>
        <w:spacing w:after="0" w:line="240" w:lineRule="auto"/>
        <w:contextualSpacing/>
        <w:jc w:val="both"/>
        <w:rPr>
          <w:rFonts w:eastAsia="Aptos"/>
        </w:rPr>
      </w:pPr>
      <w:r>
        <w:t>Ispravak Pravilnika o dopunama Pravilnika o djelokrugu rada tajnika te administrativno-tehničkim i pomoćnim poslovima koji se obavljaju u osnovnoj školiNN74/2025(</w:t>
      </w:r>
      <w:hyperlink r:id="rId7" w:history="1">
        <w:r w:rsidRPr="004E39B5">
          <w:rPr>
            <w:rStyle w:val="Hyperlink"/>
          </w:rPr>
          <w:t>https://narodne-novine.nn.hr/clanci/sluzbeni/2025_04_74_978.html</w:t>
        </w:r>
      </w:hyperlink>
      <w:r>
        <w:t>)</w:t>
      </w:r>
      <w:r w:rsidRPr="00790805">
        <w:rPr>
          <w:shd w:val="clear" w:color="auto" w:fill="F5FAFD"/>
        </w:rPr>
        <w:t xml:space="preserve"> </w:t>
      </w:r>
    </w:p>
    <w:p w14:paraId="4EA5BE99" w14:textId="77777777" w:rsidR="00AF3615" w:rsidRPr="00825864" w:rsidRDefault="00AF3615" w:rsidP="00AF3615">
      <w:pPr>
        <w:contextualSpacing/>
        <w:jc w:val="both"/>
        <w:rPr>
          <w:rFonts w:eastAsia="Aptos"/>
        </w:rPr>
      </w:pPr>
    </w:p>
    <w:p w14:paraId="478DC03C" w14:textId="77777777" w:rsidR="00AF3615" w:rsidRPr="00A114A8" w:rsidRDefault="00AF3615" w:rsidP="00AF3615">
      <w:pPr>
        <w:numPr>
          <w:ilvl w:val="0"/>
          <w:numId w:val="1"/>
        </w:numPr>
        <w:spacing w:after="0" w:line="240" w:lineRule="auto"/>
        <w:contextualSpacing/>
        <w:jc w:val="both"/>
        <w:rPr>
          <w:rFonts w:eastAsia="Aptos"/>
        </w:rPr>
      </w:pPr>
      <w:r>
        <w:t xml:space="preserve">Kućni red u Osnovnoj školi Trpanj </w:t>
      </w:r>
      <w:hyperlink r:id="rId8" w:history="1">
        <w:r w:rsidRPr="004E39B5">
          <w:rPr>
            <w:rStyle w:val="Hyperlink"/>
          </w:rPr>
          <w:t>https://os-trpanj.skole.hr/dokumenti/zakoni-i-propisi/</w:t>
        </w:r>
      </w:hyperlink>
    </w:p>
    <w:p w14:paraId="241490AB" w14:textId="77777777" w:rsidR="00AF3615" w:rsidRDefault="00AF3615" w:rsidP="00AF3615">
      <w:pPr>
        <w:pStyle w:val="ListParagraph"/>
        <w:rPr>
          <w:rFonts w:eastAsia="Aptos"/>
        </w:rPr>
      </w:pPr>
    </w:p>
    <w:p w14:paraId="43FEC5EA" w14:textId="77777777" w:rsidR="00AF3615" w:rsidRPr="00825864" w:rsidRDefault="00AF3615" w:rsidP="00AF3615">
      <w:pPr>
        <w:contextualSpacing/>
        <w:jc w:val="both"/>
        <w:rPr>
          <w:rFonts w:eastAsia="Aptos"/>
        </w:rPr>
      </w:pPr>
    </w:p>
    <w:p w14:paraId="1FFB7B06" w14:textId="77777777" w:rsidR="00AF3615" w:rsidRPr="00A114A8" w:rsidRDefault="00AF3615" w:rsidP="00AF3615">
      <w:pPr>
        <w:numPr>
          <w:ilvl w:val="0"/>
          <w:numId w:val="1"/>
        </w:numPr>
        <w:spacing w:after="0" w:line="240" w:lineRule="auto"/>
        <w:contextualSpacing/>
        <w:jc w:val="both"/>
        <w:rPr>
          <w:rFonts w:eastAsia="Aptos"/>
        </w:rPr>
      </w:pPr>
      <w:r>
        <w:t>Protokol o kontroli ulaska i izlaska u školskim ustanovama (</w:t>
      </w:r>
      <w:hyperlink r:id="rId9" w:history="1">
        <w:r w:rsidRPr="004E39B5">
          <w:rPr>
            <w:rStyle w:val="Hyperlink"/>
          </w:rPr>
          <w:t>https://mzom.gov.hr/UserDocsImages/dokumenti/Obrazovanje/Protokol/Protokol-zaO-i-SS-ver-2-1-2025.pdf</w:t>
        </w:r>
      </w:hyperlink>
      <w:r>
        <w:t>)</w:t>
      </w:r>
    </w:p>
    <w:p w14:paraId="0DAB66EE" w14:textId="77777777" w:rsidR="00AF3615" w:rsidRPr="00825864" w:rsidRDefault="00AF3615" w:rsidP="00AF3615">
      <w:pPr>
        <w:ind w:left="720"/>
        <w:contextualSpacing/>
        <w:jc w:val="both"/>
        <w:rPr>
          <w:rFonts w:eastAsia="Aptos"/>
        </w:rPr>
      </w:pPr>
    </w:p>
    <w:p w14:paraId="03987276" w14:textId="77777777" w:rsidR="00AF3615" w:rsidRDefault="00AF3615" w:rsidP="00AF3615">
      <w:pPr>
        <w:pStyle w:val="ListParagraph"/>
      </w:pPr>
      <w:r>
        <w:t>-Interni protokol o kontroli ulaska i izlaska u OŠ Trpanj</w:t>
      </w:r>
      <w:r w:rsidRPr="00237688">
        <w:t xml:space="preserve"> </w:t>
      </w:r>
    </w:p>
    <w:p w14:paraId="0A6BBC9D" w14:textId="77777777" w:rsidR="00AF3615" w:rsidRDefault="00AF3615" w:rsidP="00AF3615">
      <w:pPr>
        <w:pStyle w:val="ListParagraph"/>
      </w:pPr>
      <w:r w:rsidRPr="00237688">
        <w:t>https://os-trpanj.skole.hr/dokumenti/zakoni-i-propisi/</w:t>
      </w:r>
    </w:p>
    <w:p w14:paraId="622F78CC" w14:textId="77777777" w:rsidR="00AF3615" w:rsidRDefault="00AF3615" w:rsidP="00AF3615">
      <w:pPr>
        <w:pStyle w:val="ListParagraph"/>
      </w:pPr>
    </w:p>
    <w:p w14:paraId="523A18ED" w14:textId="77777777" w:rsidR="00AF3615" w:rsidRDefault="00AF3615" w:rsidP="00AF3615">
      <w:pPr>
        <w:pStyle w:val="ListParagraph"/>
        <w:rPr>
          <w:rFonts w:eastAsia="Aptos"/>
        </w:rPr>
      </w:pPr>
      <w:r>
        <w:t>-Elaborat o internom sustavu I provedbi uzbunjivanja, obavješćivanja I prijemu priopćenja  u Osnovnoj školi Trpanj</w:t>
      </w:r>
      <w:r w:rsidRPr="004C6691">
        <w:t xml:space="preserve"> https://os-trpanj.skole.hr/dokumenti/zakoni-i-propisi/</w:t>
      </w:r>
    </w:p>
    <w:p w14:paraId="19DB2EBE" w14:textId="77777777" w:rsidR="00AF3615" w:rsidRPr="007D519B" w:rsidRDefault="00AF3615" w:rsidP="00AF3615">
      <w:pPr>
        <w:ind w:left="720"/>
        <w:contextualSpacing/>
        <w:jc w:val="both"/>
        <w:rPr>
          <w:rFonts w:eastAsia="Aptos"/>
        </w:rPr>
      </w:pPr>
    </w:p>
    <w:p w14:paraId="089CDF0E" w14:textId="77777777" w:rsidR="00AF3615" w:rsidRDefault="00AF3615" w:rsidP="00AF3615">
      <w:pPr>
        <w:jc w:val="both"/>
      </w:pPr>
      <w:r>
        <w:t xml:space="preserve">                -Protokol o postupanju u slučaju nasilja među djecom i mladima </w:t>
      </w:r>
    </w:p>
    <w:p w14:paraId="0525E020" w14:textId="77777777" w:rsidR="00AF3615" w:rsidRDefault="00AF3615" w:rsidP="00AF3615">
      <w:pPr>
        <w:jc w:val="both"/>
      </w:pPr>
      <w:r>
        <w:t>(https://mrosp.gov.hr/UserDocsImages/dokumenti/Socijalna%20politika/Protokol%20 0%20postupanju%20u%20slu%C4%8Daju%20nasilja%20me%C4%91u%20djecom% 20i%20mladima.pdf)</w:t>
      </w:r>
    </w:p>
    <w:p w14:paraId="4D54959A" w14:textId="77777777" w:rsidR="00442419" w:rsidRPr="006467A4" w:rsidRDefault="00442419" w:rsidP="00442419">
      <w:pPr>
        <w:spacing w:after="0" w:line="240" w:lineRule="auto"/>
        <w:ind w:left="720"/>
        <w:contextualSpacing/>
        <w:jc w:val="both"/>
        <w:rPr>
          <w:rFonts w:ascii="Times New Roman" w:eastAsiaTheme="minorHAnsi" w:hAnsi="Times New Roman"/>
          <w:sz w:val="20"/>
          <w:szCs w:val="20"/>
        </w:rPr>
      </w:pPr>
    </w:p>
    <w:p w14:paraId="52E43C25" w14:textId="77777777" w:rsidR="00204EB3" w:rsidRDefault="00204EB3" w:rsidP="00AC7357">
      <w:pPr>
        <w:spacing w:after="0" w:line="240" w:lineRule="auto"/>
        <w:contextualSpacing/>
        <w:jc w:val="both"/>
        <w:rPr>
          <w:rFonts w:ascii="Times New Roman" w:eastAsiaTheme="minorHAnsi" w:hAnsi="Times New Roman"/>
          <w:sz w:val="20"/>
          <w:szCs w:val="20"/>
        </w:rPr>
      </w:pPr>
    </w:p>
    <w:p w14:paraId="40FC232A" w14:textId="076BF009" w:rsidR="00AC7357" w:rsidRPr="00FF3D0F" w:rsidRDefault="00AC7357" w:rsidP="00AC7357">
      <w:pPr>
        <w:spacing w:after="0" w:line="240" w:lineRule="auto"/>
        <w:contextualSpacing/>
        <w:jc w:val="both"/>
        <w:rPr>
          <w:rFonts w:ascii="Times New Roman" w:eastAsiaTheme="minorHAnsi" w:hAnsi="Times New Roman"/>
          <w:sz w:val="20"/>
          <w:szCs w:val="20"/>
        </w:rPr>
      </w:pPr>
      <w:r>
        <w:rPr>
          <w:rFonts w:ascii="Times New Roman" w:eastAsiaTheme="minorHAnsi" w:hAnsi="Times New Roman"/>
          <w:sz w:val="20"/>
          <w:szCs w:val="20"/>
        </w:rPr>
        <w:t>P</w:t>
      </w:r>
      <w:r w:rsidRPr="00FF3D0F">
        <w:rPr>
          <w:rFonts w:ascii="Times New Roman" w:eastAsiaTheme="minorHAnsi" w:hAnsi="Times New Roman"/>
          <w:sz w:val="20"/>
          <w:szCs w:val="20"/>
        </w:rPr>
        <w:t>RAVILA TESTIRANJA</w:t>
      </w:r>
    </w:p>
    <w:p w14:paraId="23DDE384" w14:textId="77777777" w:rsidR="00AC7357" w:rsidRPr="00FF3D0F" w:rsidRDefault="00AC7357" w:rsidP="00AC7357">
      <w:pPr>
        <w:spacing w:after="0" w:line="240" w:lineRule="auto"/>
        <w:contextualSpacing/>
        <w:jc w:val="both"/>
        <w:rPr>
          <w:rFonts w:ascii="Times New Roman" w:eastAsiaTheme="minorHAnsi" w:hAnsi="Times New Roman"/>
          <w:sz w:val="20"/>
          <w:szCs w:val="20"/>
        </w:rPr>
      </w:pPr>
    </w:p>
    <w:p w14:paraId="23DFE5C9" w14:textId="42EB03C0" w:rsidR="00204EB3" w:rsidRPr="00EC283A" w:rsidRDefault="00204EB3" w:rsidP="00204EB3">
      <w:pPr>
        <w:spacing w:after="0" w:line="240" w:lineRule="auto"/>
        <w:jc w:val="both"/>
        <w:rPr>
          <w:rFonts w:ascii="Times New Roman" w:hAnsi="Times New Roman"/>
          <w:sz w:val="24"/>
          <w:szCs w:val="24"/>
        </w:rPr>
      </w:pPr>
      <w:r w:rsidRPr="00EC283A">
        <w:rPr>
          <w:rFonts w:ascii="Times New Roman" w:hAnsi="Times New Roman"/>
          <w:sz w:val="24"/>
          <w:szCs w:val="24"/>
        </w:rPr>
        <w:t>Po dolasku na provjeru znanja od kandidata će biti zatraženo predočavanje odgovarajuće identifikacijske isprave radi utvrđivanja identiteta. Testiranju ne mogu pristupiti kandidati koji ne mogu dokazati identitet, osobe koje ne ispunjavaju formalne uvjete natječaja, te osobe za koje se utvrdi da nisu podnijele prijavu na javni natječaj za radno mjesto za koje se obavlja testiranje. Po utvrđivanju identiteta i svojstva kandidata započet će</w:t>
      </w:r>
      <w:r w:rsidR="00AF3615">
        <w:rPr>
          <w:rFonts w:ascii="Times New Roman" w:hAnsi="Times New Roman"/>
          <w:sz w:val="24"/>
          <w:szCs w:val="24"/>
        </w:rPr>
        <w:t xml:space="preserve"> </w:t>
      </w:r>
      <w:r>
        <w:rPr>
          <w:rFonts w:ascii="Times New Roman" w:hAnsi="Times New Roman"/>
          <w:sz w:val="24"/>
          <w:szCs w:val="24"/>
        </w:rPr>
        <w:t xml:space="preserve">usmeni intervju. </w:t>
      </w:r>
      <w:r w:rsidRPr="00EC283A">
        <w:rPr>
          <w:rFonts w:ascii="Times New Roman" w:hAnsi="Times New Roman"/>
          <w:sz w:val="24"/>
          <w:szCs w:val="24"/>
        </w:rPr>
        <w:t xml:space="preserve">Povjerenstvo u razgovoru s kandidatima utvrđuje znanja, sposobnosti, interese i motivaciju kandidata za rad u školi. </w:t>
      </w:r>
    </w:p>
    <w:p w14:paraId="2366C4AE" w14:textId="77777777" w:rsidR="006467A4" w:rsidRPr="006467A4" w:rsidRDefault="006467A4" w:rsidP="00DE1ACC">
      <w:pPr>
        <w:pStyle w:val="ListParagraph"/>
        <w:spacing w:after="0"/>
        <w:ind w:left="0"/>
        <w:jc w:val="both"/>
        <w:rPr>
          <w:rFonts w:ascii="Times New Roman" w:hAnsi="Times New Roman"/>
          <w:sz w:val="20"/>
          <w:szCs w:val="20"/>
        </w:rPr>
      </w:pPr>
    </w:p>
    <w:p w14:paraId="23D657A4" w14:textId="1FC0B5B5" w:rsidR="00DE1ACC" w:rsidRPr="00AC7357" w:rsidRDefault="00DE1ACC" w:rsidP="00AC7357">
      <w:pPr>
        <w:pStyle w:val="ListParagraph"/>
        <w:spacing w:after="0"/>
        <w:ind w:left="0"/>
        <w:jc w:val="both"/>
        <w:rPr>
          <w:rFonts w:ascii="Times New Roman" w:hAnsi="Times New Roman"/>
          <w:sz w:val="20"/>
          <w:szCs w:val="20"/>
        </w:rPr>
      </w:pPr>
      <w:r w:rsidRPr="006467A4">
        <w:rPr>
          <w:rFonts w:ascii="Times New Roman" w:hAnsi="Times New Roman"/>
          <w:sz w:val="20"/>
          <w:szCs w:val="20"/>
        </w:rPr>
        <w:t>Testiranje kandi</w:t>
      </w:r>
      <w:r w:rsidR="0079614A">
        <w:rPr>
          <w:rFonts w:ascii="Times New Roman" w:hAnsi="Times New Roman"/>
          <w:sz w:val="20"/>
          <w:szCs w:val="20"/>
        </w:rPr>
        <w:t>d</w:t>
      </w:r>
      <w:r w:rsidRPr="006467A4">
        <w:rPr>
          <w:rFonts w:ascii="Times New Roman" w:hAnsi="Times New Roman"/>
          <w:sz w:val="20"/>
          <w:szCs w:val="20"/>
        </w:rPr>
        <w:t>ata odr</w:t>
      </w:r>
      <w:r w:rsidR="00833BD5">
        <w:rPr>
          <w:rFonts w:ascii="Times New Roman" w:hAnsi="Times New Roman"/>
          <w:sz w:val="20"/>
          <w:szCs w:val="20"/>
        </w:rPr>
        <w:t xml:space="preserve">žat će se u </w:t>
      </w:r>
      <w:r w:rsidR="00C143ED">
        <w:rPr>
          <w:rFonts w:ascii="Times New Roman" w:hAnsi="Times New Roman"/>
          <w:sz w:val="20"/>
          <w:szCs w:val="20"/>
        </w:rPr>
        <w:t>p</w:t>
      </w:r>
      <w:r w:rsidR="0079614A">
        <w:rPr>
          <w:rFonts w:ascii="Times New Roman" w:hAnsi="Times New Roman"/>
          <w:sz w:val="20"/>
          <w:szCs w:val="20"/>
        </w:rPr>
        <w:t>onedjeljak</w:t>
      </w:r>
      <w:r w:rsidRPr="006467A4">
        <w:rPr>
          <w:rFonts w:ascii="Times New Roman" w:hAnsi="Times New Roman"/>
          <w:sz w:val="20"/>
          <w:szCs w:val="20"/>
        </w:rPr>
        <w:t xml:space="preserve">, </w:t>
      </w:r>
      <w:r w:rsidR="0079614A">
        <w:rPr>
          <w:rFonts w:ascii="Times New Roman" w:hAnsi="Times New Roman"/>
          <w:sz w:val="20"/>
          <w:szCs w:val="20"/>
        </w:rPr>
        <w:t>20</w:t>
      </w:r>
      <w:r w:rsidRPr="006467A4">
        <w:rPr>
          <w:rFonts w:ascii="Times New Roman" w:hAnsi="Times New Roman"/>
          <w:sz w:val="20"/>
          <w:szCs w:val="20"/>
        </w:rPr>
        <w:t xml:space="preserve">. </w:t>
      </w:r>
      <w:r w:rsidR="007005F8">
        <w:rPr>
          <w:rFonts w:ascii="Times New Roman" w:hAnsi="Times New Roman"/>
          <w:sz w:val="20"/>
          <w:szCs w:val="20"/>
        </w:rPr>
        <w:t>travnja</w:t>
      </w:r>
      <w:r w:rsidRPr="006467A4">
        <w:rPr>
          <w:rFonts w:ascii="Times New Roman" w:hAnsi="Times New Roman"/>
          <w:sz w:val="20"/>
          <w:szCs w:val="20"/>
        </w:rPr>
        <w:t xml:space="preserve"> 202</w:t>
      </w:r>
      <w:r w:rsidR="007005F8">
        <w:rPr>
          <w:rFonts w:ascii="Times New Roman" w:hAnsi="Times New Roman"/>
          <w:sz w:val="20"/>
          <w:szCs w:val="20"/>
        </w:rPr>
        <w:t>6</w:t>
      </w:r>
      <w:r w:rsidRPr="006467A4">
        <w:rPr>
          <w:rFonts w:ascii="Times New Roman" w:hAnsi="Times New Roman"/>
          <w:sz w:val="20"/>
          <w:szCs w:val="20"/>
        </w:rPr>
        <w:t>. godine u prostorijama Osnovn</w:t>
      </w:r>
      <w:r w:rsidR="00A1142C">
        <w:rPr>
          <w:rFonts w:ascii="Times New Roman" w:hAnsi="Times New Roman"/>
          <w:sz w:val="20"/>
          <w:szCs w:val="20"/>
        </w:rPr>
        <w:t>e škole Trpanj s početkom u 1</w:t>
      </w:r>
      <w:r w:rsidR="004C2BD9">
        <w:rPr>
          <w:rFonts w:ascii="Times New Roman" w:hAnsi="Times New Roman"/>
          <w:sz w:val="20"/>
          <w:szCs w:val="20"/>
        </w:rPr>
        <w:t>2</w:t>
      </w:r>
      <w:r w:rsidR="00A1142C">
        <w:rPr>
          <w:rFonts w:ascii="Times New Roman" w:hAnsi="Times New Roman"/>
          <w:sz w:val="20"/>
          <w:szCs w:val="20"/>
        </w:rPr>
        <w:t>:</w:t>
      </w:r>
      <w:r w:rsidR="002C6B5A">
        <w:rPr>
          <w:rFonts w:ascii="Times New Roman" w:hAnsi="Times New Roman"/>
          <w:sz w:val="20"/>
          <w:szCs w:val="20"/>
        </w:rPr>
        <w:t>0</w:t>
      </w:r>
      <w:r w:rsidR="004C2BD9">
        <w:rPr>
          <w:rFonts w:ascii="Times New Roman" w:hAnsi="Times New Roman"/>
          <w:sz w:val="20"/>
          <w:szCs w:val="20"/>
        </w:rPr>
        <w:t>0</w:t>
      </w:r>
      <w:r w:rsidRPr="006467A4">
        <w:rPr>
          <w:rFonts w:ascii="Times New Roman" w:hAnsi="Times New Roman"/>
          <w:sz w:val="20"/>
          <w:szCs w:val="20"/>
        </w:rPr>
        <w:t xml:space="preserve"> sati. Pozivaju se sljedeći kandidati koji su podnijeli pravodobne i potpune prijave te ispunjavaju formalne uvjete natječaja:</w:t>
      </w:r>
      <w:r w:rsidRPr="006467A4">
        <w:rPr>
          <w:rFonts w:ascii="Times New Roman" w:eastAsia="Times New Roman" w:hAnsi="Times New Roman"/>
          <w:color w:val="000000"/>
          <w:sz w:val="20"/>
          <w:szCs w:val="20"/>
          <w:lang w:eastAsia="hr-HR"/>
        </w:rPr>
        <w:t> </w:t>
      </w:r>
    </w:p>
    <w:tbl>
      <w:tblPr>
        <w:tblW w:w="5968" w:type="dxa"/>
        <w:tblCellSpacing w:w="0" w:type="dxa"/>
        <w:tblBorders>
          <w:top w:val="outset" w:sz="6" w:space="0" w:color="auto"/>
          <w:left w:val="outset" w:sz="6" w:space="0" w:color="auto"/>
          <w:bottom w:val="outset" w:sz="6" w:space="0" w:color="auto"/>
          <w:right w:val="outset" w:sz="6" w:space="0" w:color="auto"/>
        </w:tblBorders>
        <w:shd w:val="clear" w:color="auto" w:fill="F2FCFC"/>
        <w:tblCellMar>
          <w:left w:w="0" w:type="dxa"/>
          <w:right w:w="0" w:type="dxa"/>
        </w:tblCellMar>
        <w:tblLook w:val="04A0" w:firstRow="1" w:lastRow="0" w:firstColumn="1" w:lastColumn="0" w:noHBand="0" w:noVBand="1"/>
      </w:tblPr>
      <w:tblGrid>
        <w:gridCol w:w="1577"/>
        <w:gridCol w:w="4391"/>
      </w:tblGrid>
      <w:tr w:rsidR="00DE1ACC" w:rsidRPr="006467A4" w14:paraId="569ED1D8" w14:textId="77777777" w:rsidTr="00186926">
        <w:trPr>
          <w:trHeight w:val="305"/>
          <w:tblCellSpacing w:w="0" w:type="dxa"/>
        </w:trPr>
        <w:tc>
          <w:tcPr>
            <w:tcW w:w="1577" w:type="dxa"/>
            <w:tcBorders>
              <w:top w:val="outset" w:sz="6" w:space="0" w:color="auto"/>
              <w:left w:val="outset" w:sz="6" w:space="0" w:color="auto"/>
              <w:bottom w:val="outset" w:sz="6" w:space="0" w:color="auto"/>
              <w:right w:val="outset" w:sz="6" w:space="0" w:color="auto"/>
            </w:tcBorders>
            <w:shd w:val="clear" w:color="auto" w:fill="F2FCFC"/>
            <w:vAlign w:val="center"/>
            <w:hideMark/>
          </w:tcPr>
          <w:p w14:paraId="70ECF3E2" w14:textId="77777777" w:rsidR="00DE1ACC" w:rsidRPr="006467A4" w:rsidRDefault="00DE1ACC" w:rsidP="00186926">
            <w:pPr>
              <w:spacing w:before="100" w:beforeAutospacing="1" w:after="100" w:afterAutospacing="1" w:line="240" w:lineRule="auto"/>
              <w:jc w:val="both"/>
              <w:rPr>
                <w:rFonts w:ascii="Times New Roman" w:eastAsia="Times New Roman" w:hAnsi="Times New Roman"/>
                <w:color w:val="000000"/>
                <w:sz w:val="20"/>
                <w:szCs w:val="20"/>
                <w:lang w:eastAsia="hr-HR"/>
              </w:rPr>
            </w:pPr>
            <w:r w:rsidRPr="006467A4">
              <w:rPr>
                <w:rFonts w:ascii="Times New Roman" w:eastAsia="Times New Roman" w:hAnsi="Times New Roman"/>
                <w:b/>
                <w:bCs/>
                <w:color w:val="000000"/>
                <w:sz w:val="20"/>
                <w:szCs w:val="20"/>
                <w:lang w:eastAsia="hr-HR"/>
              </w:rPr>
              <w:t>REDNI BROJ</w:t>
            </w:r>
          </w:p>
        </w:tc>
        <w:tc>
          <w:tcPr>
            <w:tcW w:w="4391" w:type="dxa"/>
            <w:tcBorders>
              <w:top w:val="outset" w:sz="6" w:space="0" w:color="auto"/>
              <w:left w:val="outset" w:sz="6" w:space="0" w:color="auto"/>
              <w:bottom w:val="outset" w:sz="6" w:space="0" w:color="auto"/>
              <w:right w:val="outset" w:sz="6" w:space="0" w:color="auto"/>
            </w:tcBorders>
            <w:shd w:val="clear" w:color="auto" w:fill="F2FCFC"/>
            <w:vAlign w:val="center"/>
            <w:hideMark/>
          </w:tcPr>
          <w:p w14:paraId="4D5525FA" w14:textId="77777777" w:rsidR="00DE1ACC" w:rsidRPr="006467A4" w:rsidRDefault="00DE1ACC" w:rsidP="00186926">
            <w:pPr>
              <w:spacing w:before="100" w:beforeAutospacing="1" w:after="100" w:afterAutospacing="1" w:line="240" w:lineRule="auto"/>
              <w:jc w:val="both"/>
              <w:rPr>
                <w:rFonts w:ascii="Times New Roman" w:eastAsia="Times New Roman" w:hAnsi="Times New Roman"/>
                <w:color w:val="000000"/>
                <w:sz w:val="20"/>
                <w:szCs w:val="20"/>
                <w:lang w:eastAsia="hr-HR"/>
              </w:rPr>
            </w:pPr>
            <w:r w:rsidRPr="006467A4">
              <w:rPr>
                <w:rFonts w:ascii="Times New Roman" w:eastAsia="Times New Roman" w:hAnsi="Times New Roman"/>
                <w:b/>
                <w:bCs/>
                <w:color w:val="000000"/>
                <w:sz w:val="20"/>
                <w:szCs w:val="20"/>
                <w:lang w:eastAsia="hr-HR"/>
              </w:rPr>
              <w:t>IME I PREZIME</w:t>
            </w:r>
          </w:p>
        </w:tc>
      </w:tr>
      <w:tr w:rsidR="00DE1ACC" w:rsidRPr="006467A4" w14:paraId="6141B7B2" w14:textId="77777777" w:rsidTr="00186926">
        <w:trPr>
          <w:trHeight w:val="305"/>
          <w:tblCellSpacing w:w="0" w:type="dxa"/>
        </w:trPr>
        <w:tc>
          <w:tcPr>
            <w:tcW w:w="1577" w:type="dxa"/>
            <w:tcBorders>
              <w:top w:val="outset" w:sz="6" w:space="0" w:color="auto"/>
              <w:left w:val="outset" w:sz="6" w:space="0" w:color="auto"/>
              <w:bottom w:val="outset" w:sz="6" w:space="0" w:color="auto"/>
              <w:right w:val="outset" w:sz="6" w:space="0" w:color="auto"/>
            </w:tcBorders>
            <w:shd w:val="clear" w:color="auto" w:fill="F2FCFC"/>
            <w:vAlign w:val="center"/>
            <w:hideMark/>
          </w:tcPr>
          <w:p w14:paraId="25E52622" w14:textId="77777777" w:rsidR="00DE1ACC" w:rsidRPr="006467A4" w:rsidRDefault="00DE1ACC" w:rsidP="00186926">
            <w:pPr>
              <w:spacing w:before="100" w:beforeAutospacing="1" w:after="100" w:afterAutospacing="1" w:line="240" w:lineRule="auto"/>
              <w:ind w:left="360"/>
              <w:jc w:val="both"/>
              <w:rPr>
                <w:rFonts w:ascii="Times New Roman" w:eastAsia="Times New Roman" w:hAnsi="Times New Roman"/>
                <w:color w:val="000000"/>
                <w:sz w:val="20"/>
                <w:szCs w:val="20"/>
                <w:lang w:eastAsia="hr-HR"/>
              </w:rPr>
            </w:pPr>
            <w:r w:rsidRPr="006467A4">
              <w:rPr>
                <w:rFonts w:ascii="Times New Roman" w:eastAsia="Times New Roman" w:hAnsi="Times New Roman"/>
                <w:color w:val="000000"/>
                <w:sz w:val="20"/>
                <w:szCs w:val="20"/>
                <w:lang w:eastAsia="hr-HR"/>
              </w:rPr>
              <w:t>1 .</w:t>
            </w:r>
          </w:p>
        </w:tc>
        <w:tc>
          <w:tcPr>
            <w:tcW w:w="4391" w:type="dxa"/>
            <w:tcBorders>
              <w:top w:val="outset" w:sz="6" w:space="0" w:color="auto"/>
              <w:left w:val="outset" w:sz="6" w:space="0" w:color="auto"/>
              <w:bottom w:val="outset" w:sz="6" w:space="0" w:color="auto"/>
              <w:right w:val="outset" w:sz="6" w:space="0" w:color="auto"/>
            </w:tcBorders>
            <w:shd w:val="clear" w:color="auto" w:fill="F2FCFC"/>
            <w:vAlign w:val="center"/>
            <w:hideMark/>
          </w:tcPr>
          <w:p w14:paraId="62F4B7F2" w14:textId="4C67D3A4" w:rsidR="00DE1ACC" w:rsidRPr="006467A4" w:rsidRDefault="007005F8" w:rsidP="00186926">
            <w:pPr>
              <w:spacing w:before="100" w:beforeAutospacing="1" w:after="100" w:afterAutospacing="1" w:line="240" w:lineRule="auto"/>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T.O.</w:t>
            </w:r>
          </w:p>
        </w:tc>
      </w:tr>
      <w:tr w:rsidR="00DE1ACC" w:rsidRPr="006467A4" w14:paraId="40FC631D" w14:textId="77777777" w:rsidTr="00186926">
        <w:trPr>
          <w:trHeight w:val="305"/>
          <w:tblCellSpacing w:w="0" w:type="dxa"/>
        </w:trPr>
        <w:tc>
          <w:tcPr>
            <w:tcW w:w="1577" w:type="dxa"/>
            <w:tcBorders>
              <w:top w:val="outset" w:sz="6" w:space="0" w:color="auto"/>
              <w:left w:val="outset" w:sz="6" w:space="0" w:color="auto"/>
              <w:bottom w:val="outset" w:sz="6" w:space="0" w:color="auto"/>
              <w:right w:val="outset" w:sz="6" w:space="0" w:color="auto"/>
            </w:tcBorders>
            <w:shd w:val="clear" w:color="auto" w:fill="F2FCFC"/>
            <w:vAlign w:val="center"/>
            <w:hideMark/>
          </w:tcPr>
          <w:p w14:paraId="31312060" w14:textId="77777777" w:rsidR="00DE1ACC" w:rsidRPr="006467A4" w:rsidRDefault="00DE1ACC" w:rsidP="00186926">
            <w:pPr>
              <w:spacing w:before="100" w:beforeAutospacing="1" w:after="100" w:afterAutospacing="1" w:line="240" w:lineRule="auto"/>
              <w:ind w:left="360"/>
              <w:jc w:val="both"/>
              <w:rPr>
                <w:rFonts w:ascii="Times New Roman" w:eastAsia="Times New Roman" w:hAnsi="Times New Roman"/>
                <w:color w:val="000000"/>
                <w:sz w:val="20"/>
                <w:szCs w:val="20"/>
                <w:lang w:eastAsia="hr-HR"/>
              </w:rPr>
            </w:pPr>
            <w:r w:rsidRPr="006467A4">
              <w:rPr>
                <w:rFonts w:ascii="Times New Roman" w:eastAsia="Times New Roman" w:hAnsi="Times New Roman"/>
                <w:color w:val="000000"/>
                <w:sz w:val="20"/>
                <w:szCs w:val="20"/>
                <w:lang w:eastAsia="hr-HR"/>
              </w:rPr>
              <w:t>2 .</w:t>
            </w:r>
          </w:p>
        </w:tc>
        <w:tc>
          <w:tcPr>
            <w:tcW w:w="4391" w:type="dxa"/>
            <w:tcBorders>
              <w:top w:val="outset" w:sz="6" w:space="0" w:color="auto"/>
              <w:left w:val="outset" w:sz="6" w:space="0" w:color="auto"/>
              <w:bottom w:val="outset" w:sz="6" w:space="0" w:color="auto"/>
              <w:right w:val="outset" w:sz="6" w:space="0" w:color="auto"/>
            </w:tcBorders>
            <w:shd w:val="clear" w:color="auto" w:fill="F2FCFC"/>
            <w:vAlign w:val="center"/>
            <w:hideMark/>
          </w:tcPr>
          <w:p w14:paraId="44B3CE41" w14:textId="703FF338" w:rsidR="00DE1ACC" w:rsidRPr="006467A4" w:rsidRDefault="007005F8" w:rsidP="00186926">
            <w:pPr>
              <w:spacing w:before="100" w:beforeAutospacing="1" w:after="100" w:afterAutospacing="1" w:line="240" w:lineRule="auto"/>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w:t>
            </w:r>
          </w:p>
        </w:tc>
      </w:tr>
      <w:tr w:rsidR="004C2BD9" w:rsidRPr="006467A4" w14:paraId="5DB9659D" w14:textId="77777777" w:rsidTr="00186926">
        <w:trPr>
          <w:trHeight w:val="305"/>
          <w:tblCellSpacing w:w="0" w:type="dxa"/>
        </w:trPr>
        <w:tc>
          <w:tcPr>
            <w:tcW w:w="1577" w:type="dxa"/>
            <w:tcBorders>
              <w:top w:val="outset" w:sz="6" w:space="0" w:color="auto"/>
              <w:left w:val="outset" w:sz="6" w:space="0" w:color="auto"/>
              <w:bottom w:val="outset" w:sz="6" w:space="0" w:color="auto"/>
              <w:right w:val="outset" w:sz="6" w:space="0" w:color="auto"/>
            </w:tcBorders>
            <w:shd w:val="clear" w:color="auto" w:fill="F2FCFC"/>
            <w:vAlign w:val="center"/>
          </w:tcPr>
          <w:p w14:paraId="3046074C" w14:textId="0DACA58E" w:rsidR="004C2BD9" w:rsidRPr="006467A4" w:rsidRDefault="004C2BD9" w:rsidP="00186926">
            <w:pPr>
              <w:spacing w:before="100" w:beforeAutospacing="1" w:after="100" w:afterAutospacing="1" w:line="240" w:lineRule="auto"/>
              <w:ind w:left="360"/>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3.</w:t>
            </w:r>
          </w:p>
        </w:tc>
        <w:tc>
          <w:tcPr>
            <w:tcW w:w="4391" w:type="dxa"/>
            <w:tcBorders>
              <w:top w:val="outset" w:sz="6" w:space="0" w:color="auto"/>
              <w:left w:val="outset" w:sz="6" w:space="0" w:color="auto"/>
              <w:bottom w:val="outset" w:sz="6" w:space="0" w:color="auto"/>
              <w:right w:val="outset" w:sz="6" w:space="0" w:color="auto"/>
            </w:tcBorders>
            <w:shd w:val="clear" w:color="auto" w:fill="F2FCFC"/>
            <w:vAlign w:val="center"/>
          </w:tcPr>
          <w:p w14:paraId="0992BF16" w14:textId="09EFE0C0" w:rsidR="004C2BD9" w:rsidRDefault="004C2BD9" w:rsidP="00186926">
            <w:pPr>
              <w:spacing w:before="100" w:beforeAutospacing="1" w:after="100" w:afterAutospacing="1" w:line="240" w:lineRule="auto"/>
              <w:jc w:val="both"/>
              <w:rPr>
                <w:rFonts w:ascii="Times New Roman" w:hAnsi="Times New Roman"/>
                <w:bCs/>
                <w:color w:val="000000"/>
                <w:sz w:val="20"/>
                <w:szCs w:val="20"/>
                <w:lang w:eastAsia="hr-HR"/>
              </w:rPr>
            </w:pPr>
          </w:p>
        </w:tc>
      </w:tr>
    </w:tbl>
    <w:p w14:paraId="510403AF" w14:textId="77777777" w:rsidR="00C143ED" w:rsidRDefault="00C143ED" w:rsidP="00AC7357">
      <w:pPr>
        <w:shd w:val="clear" w:color="auto" w:fill="F2FCFC"/>
        <w:spacing w:before="100" w:beforeAutospacing="1" w:after="100" w:afterAutospacing="1" w:line="240" w:lineRule="auto"/>
        <w:jc w:val="both"/>
        <w:rPr>
          <w:rFonts w:ascii="Times New Roman" w:eastAsia="Times New Roman" w:hAnsi="Times New Roman"/>
          <w:color w:val="000000"/>
          <w:sz w:val="20"/>
          <w:szCs w:val="20"/>
          <w:lang w:eastAsia="hr-HR"/>
        </w:rPr>
      </w:pPr>
    </w:p>
    <w:p w14:paraId="15D406CB" w14:textId="77777777" w:rsidR="00C143ED" w:rsidRDefault="00C143ED" w:rsidP="00AC7357">
      <w:pPr>
        <w:shd w:val="clear" w:color="auto" w:fill="F2FCFC"/>
        <w:spacing w:before="100" w:beforeAutospacing="1" w:after="100" w:afterAutospacing="1" w:line="240" w:lineRule="auto"/>
        <w:jc w:val="both"/>
        <w:rPr>
          <w:rFonts w:ascii="Times New Roman" w:eastAsia="Times New Roman" w:hAnsi="Times New Roman"/>
          <w:color w:val="000000"/>
          <w:sz w:val="20"/>
          <w:szCs w:val="20"/>
          <w:lang w:eastAsia="hr-HR"/>
        </w:rPr>
      </w:pPr>
    </w:p>
    <w:p w14:paraId="2D731EA9" w14:textId="220E3355" w:rsidR="00DE1ACC" w:rsidRPr="00AC7357" w:rsidRDefault="00DE1ACC" w:rsidP="00AC7357">
      <w:pPr>
        <w:shd w:val="clear" w:color="auto" w:fill="F2FCFC"/>
        <w:spacing w:before="100" w:beforeAutospacing="1" w:after="100" w:afterAutospacing="1" w:line="240" w:lineRule="auto"/>
        <w:jc w:val="both"/>
        <w:rPr>
          <w:rFonts w:ascii="Times New Roman" w:eastAsia="Times New Roman" w:hAnsi="Times New Roman"/>
          <w:color w:val="000000"/>
          <w:sz w:val="20"/>
          <w:szCs w:val="20"/>
          <w:lang w:eastAsia="hr-HR"/>
        </w:rPr>
      </w:pPr>
      <w:r w:rsidRPr="006467A4">
        <w:rPr>
          <w:rFonts w:ascii="Times New Roman" w:eastAsia="Times New Roman" w:hAnsi="Times New Roman"/>
          <w:color w:val="000000"/>
          <w:sz w:val="20"/>
          <w:szCs w:val="20"/>
          <w:lang w:eastAsia="hr-HR"/>
        </w:rPr>
        <w:t> </w:t>
      </w:r>
      <w:r w:rsidRPr="006467A4">
        <w:rPr>
          <w:rFonts w:ascii="Times New Roman" w:hAnsi="Times New Roman"/>
          <w:sz w:val="20"/>
          <w:szCs w:val="20"/>
        </w:rPr>
        <w:t xml:space="preserve">Kandidati (M/Ž) koji ne pristupe testiranju u navedenom vremenu ili pristupe nakon vremena određenog za početak testiranja više se ne smatraju kandidatima u postupku.                                                                            </w:t>
      </w:r>
    </w:p>
    <w:p w14:paraId="346C0C0B" w14:textId="77777777" w:rsidR="00DE1ACC" w:rsidRPr="006467A4" w:rsidRDefault="00DE1ACC" w:rsidP="00DE1ACC">
      <w:pPr>
        <w:pStyle w:val="ListParagraph"/>
        <w:spacing w:after="0"/>
        <w:ind w:left="0"/>
        <w:jc w:val="both"/>
        <w:rPr>
          <w:rFonts w:ascii="Times New Roman" w:hAnsi="Times New Roman"/>
          <w:sz w:val="20"/>
          <w:szCs w:val="20"/>
        </w:rPr>
      </w:pPr>
    </w:p>
    <w:p w14:paraId="743F3D7A" w14:textId="16E1553B" w:rsidR="00DE1ACC" w:rsidRPr="006467A4" w:rsidRDefault="00DE1ACC" w:rsidP="00DE1ACC">
      <w:pPr>
        <w:pStyle w:val="ListParagraph"/>
        <w:spacing w:after="0"/>
        <w:ind w:left="0"/>
        <w:jc w:val="both"/>
        <w:rPr>
          <w:rFonts w:ascii="Times New Roman" w:hAnsi="Times New Roman"/>
          <w:sz w:val="20"/>
          <w:szCs w:val="20"/>
        </w:rPr>
      </w:pPr>
      <w:r w:rsidRPr="006467A4">
        <w:rPr>
          <w:rFonts w:ascii="Times New Roman" w:hAnsi="Times New Roman"/>
          <w:sz w:val="20"/>
          <w:szCs w:val="20"/>
        </w:rPr>
        <w:t xml:space="preserve">                                                                         </w:t>
      </w:r>
      <w:r w:rsidR="00B96BB0">
        <w:rPr>
          <w:rFonts w:ascii="Times New Roman" w:hAnsi="Times New Roman"/>
          <w:sz w:val="20"/>
          <w:szCs w:val="20"/>
        </w:rPr>
        <w:t xml:space="preserve">           </w:t>
      </w:r>
      <w:r w:rsidRPr="006467A4">
        <w:rPr>
          <w:rFonts w:ascii="Times New Roman" w:hAnsi="Times New Roman"/>
          <w:sz w:val="20"/>
          <w:szCs w:val="20"/>
        </w:rPr>
        <w:t>POVJERENSTVO ZA PROVEDBU NATJEČAJA</w:t>
      </w:r>
    </w:p>
    <w:p w14:paraId="3926684F" w14:textId="77777777" w:rsidR="00442419" w:rsidRPr="006467A4" w:rsidRDefault="00442419" w:rsidP="00442419">
      <w:pPr>
        <w:pStyle w:val="ListParagraph"/>
        <w:spacing w:after="0"/>
        <w:ind w:left="0" w:firstLine="708"/>
        <w:jc w:val="both"/>
        <w:rPr>
          <w:rFonts w:ascii="Times New Roman" w:hAnsi="Times New Roman"/>
          <w:sz w:val="20"/>
          <w:szCs w:val="20"/>
        </w:rPr>
      </w:pPr>
    </w:p>
    <w:p w14:paraId="117C6343" w14:textId="77777777" w:rsidR="00442419" w:rsidRPr="006467A4" w:rsidRDefault="00442419" w:rsidP="00442419">
      <w:pPr>
        <w:pStyle w:val="ListParagraph"/>
        <w:spacing w:after="0"/>
        <w:ind w:left="0" w:firstLine="708"/>
        <w:jc w:val="both"/>
        <w:rPr>
          <w:rFonts w:ascii="Times New Roman" w:hAnsi="Times New Roman"/>
          <w:sz w:val="20"/>
          <w:szCs w:val="20"/>
        </w:rPr>
      </w:pPr>
      <w:r w:rsidRPr="006467A4">
        <w:rPr>
          <w:rFonts w:ascii="Times New Roman" w:hAnsi="Times New Roman"/>
          <w:sz w:val="20"/>
          <w:szCs w:val="20"/>
        </w:rPr>
        <w:t xml:space="preserve">                                                                                    Predsjednica Povjerenstva</w:t>
      </w:r>
    </w:p>
    <w:p w14:paraId="6BF8BC88" w14:textId="70E51614" w:rsidR="00442419" w:rsidRPr="006467A4" w:rsidRDefault="00442419" w:rsidP="00442419">
      <w:pPr>
        <w:pStyle w:val="ListParagraph"/>
        <w:spacing w:after="0"/>
        <w:ind w:left="0" w:firstLine="708"/>
        <w:jc w:val="both"/>
        <w:rPr>
          <w:rFonts w:ascii="Times New Roman" w:hAnsi="Times New Roman"/>
          <w:sz w:val="20"/>
          <w:szCs w:val="20"/>
        </w:rPr>
      </w:pPr>
      <w:r w:rsidRPr="006467A4">
        <w:rPr>
          <w:rFonts w:ascii="Times New Roman" w:hAnsi="Times New Roman"/>
          <w:sz w:val="20"/>
          <w:szCs w:val="20"/>
        </w:rPr>
        <w:t xml:space="preserve">                                                                                               </w:t>
      </w:r>
      <w:r w:rsidR="00204EB3">
        <w:rPr>
          <w:rFonts w:ascii="Times New Roman" w:hAnsi="Times New Roman"/>
          <w:sz w:val="20"/>
          <w:szCs w:val="20"/>
        </w:rPr>
        <w:t>Franica Šunj Pezo</w:t>
      </w:r>
    </w:p>
    <w:p w14:paraId="40659A47" w14:textId="77777777" w:rsidR="00BE29C3" w:rsidRDefault="00BE29C3"/>
    <w:sectPr w:rsidR="00BE29C3" w:rsidSect="005D03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334D86"/>
    <w:multiLevelType w:val="hybridMultilevel"/>
    <w:tmpl w:val="9FCCF5A4"/>
    <w:lvl w:ilvl="0" w:tplc="304C1F0E">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259686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534BD"/>
    <w:rsid w:val="00065052"/>
    <w:rsid w:val="000827F9"/>
    <w:rsid w:val="00133047"/>
    <w:rsid w:val="00164FEA"/>
    <w:rsid w:val="00182DA4"/>
    <w:rsid w:val="00190EE2"/>
    <w:rsid w:val="00204EB3"/>
    <w:rsid w:val="002116B7"/>
    <w:rsid w:val="002B1000"/>
    <w:rsid w:val="002C6B5A"/>
    <w:rsid w:val="002F028C"/>
    <w:rsid w:val="0032279E"/>
    <w:rsid w:val="00365C42"/>
    <w:rsid w:val="00442419"/>
    <w:rsid w:val="004534BD"/>
    <w:rsid w:val="0049500B"/>
    <w:rsid w:val="004C2BD9"/>
    <w:rsid w:val="004E415F"/>
    <w:rsid w:val="005D0313"/>
    <w:rsid w:val="0060123F"/>
    <w:rsid w:val="006467A4"/>
    <w:rsid w:val="00673853"/>
    <w:rsid w:val="006D6773"/>
    <w:rsid w:val="007005F8"/>
    <w:rsid w:val="007142BE"/>
    <w:rsid w:val="007453EA"/>
    <w:rsid w:val="00754AD5"/>
    <w:rsid w:val="00781778"/>
    <w:rsid w:val="0079614A"/>
    <w:rsid w:val="00800F12"/>
    <w:rsid w:val="00833BD5"/>
    <w:rsid w:val="00873666"/>
    <w:rsid w:val="00911380"/>
    <w:rsid w:val="009302DE"/>
    <w:rsid w:val="00A1142C"/>
    <w:rsid w:val="00A15543"/>
    <w:rsid w:val="00A33EAB"/>
    <w:rsid w:val="00A35EE6"/>
    <w:rsid w:val="00A47CAA"/>
    <w:rsid w:val="00A74755"/>
    <w:rsid w:val="00A86901"/>
    <w:rsid w:val="00AC7357"/>
    <w:rsid w:val="00AF3615"/>
    <w:rsid w:val="00B06C7D"/>
    <w:rsid w:val="00B96BB0"/>
    <w:rsid w:val="00BC64AD"/>
    <w:rsid w:val="00BE29C3"/>
    <w:rsid w:val="00BE4310"/>
    <w:rsid w:val="00C143ED"/>
    <w:rsid w:val="00C45826"/>
    <w:rsid w:val="00C903EF"/>
    <w:rsid w:val="00C91C20"/>
    <w:rsid w:val="00CE00AE"/>
    <w:rsid w:val="00CE40F0"/>
    <w:rsid w:val="00D10C49"/>
    <w:rsid w:val="00D53AF5"/>
    <w:rsid w:val="00DC5D1C"/>
    <w:rsid w:val="00DD5922"/>
    <w:rsid w:val="00DE1ACC"/>
    <w:rsid w:val="00E079D1"/>
    <w:rsid w:val="00E21905"/>
    <w:rsid w:val="00E446AC"/>
    <w:rsid w:val="00ED158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63070"/>
  <w15:docId w15:val="{3CEBF17E-C172-49AA-B1D4-58B5F0078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419"/>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419"/>
    <w:pPr>
      <w:ind w:left="720"/>
      <w:contextualSpacing/>
    </w:pPr>
  </w:style>
  <w:style w:type="character" w:styleId="Hyperlink">
    <w:name w:val="Hyperlink"/>
    <w:basedOn w:val="DefaultParagraphFont"/>
    <w:rsid w:val="00AF36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66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trpanj.skole.hr/dokumenti/zakoni-i-propisi/" TargetMode="External"/><Relationship Id="rId3" Type="http://schemas.openxmlformats.org/officeDocument/2006/relationships/settings" Target="settings.xml"/><Relationship Id="rId7" Type="http://schemas.openxmlformats.org/officeDocument/2006/relationships/hyperlink" Target="https://narodne-novine.nn.hr/clanci/sluzbeni/2025_04_74_97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rodne-novine.nn.hr/clanci/sluzbeni/2025%2004%2071%20925.html" TargetMode="External"/><Relationship Id="rId11" Type="http://schemas.openxmlformats.org/officeDocument/2006/relationships/theme" Target="theme/theme1.xml"/><Relationship Id="rId5" Type="http://schemas.openxmlformats.org/officeDocument/2006/relationships/hyperlink" Target="https://narodnenovine.nn.hr/clanci/sluzbeni/2014%2003%2040%20713.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zom.gov.hr/UserDocsImages/dokumenti/Obrazovanje/Protokol/Protokol-zaO-i-SS-ver-2-1-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622</Words>
  <Characters>3550</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Korisnik</cp:lastModifiedBy>
  <cp:revision>42</cp:revision>
  <cp:lastPrinted>2026-04-10T07:29:00Z</cp:lastPrinted>
  <dcterms:created xsi:type="dcterms:W3CDTF">2020-10-19T07:24:00Z</dcterms:created>
  <dcterms:modified xsi:type="dcterms:W3CDTF">2026-04-10T09:26:00Z</dcterms:modified>
</cp:coreProperties>
</file>